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obveznika:</w:t>
      </w:r>
      <w:r>
        <w:rPr>
          <w:rFonts w:ascii="Times New Roman" w:hAnsi="Times New Roman" w:cs="Times New Roman"/>
          <w:sz w:val="24"/>
        </w:rPr>
        <w:tab/>
        <w:t>OPĆINA GORJANI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 RKP-a: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35907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Sjedište obveznika:</w:t>
      </w:r>
      <w:r>
        <w:rPr>
          <w:rFonts w:ascii="Times New Roman" w:hAnsi="Times New Roman" w:cs="Times New Roman"/>
          <w:sz w:val="24"/>
        </w:rPr>
        <w:tab/>
        <w:t>31422 Gorjani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Matični broj: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C4142">
        <w:rPr>
          <w:rFonts w:ascii="Times New Roman" w:hAnsi="Times New Roman" w:cs="Times New Roman"/>
          <w:sz w:val="24"/>
        </w:rPr>
        <w:t>2563401</w:t>
      </w:r>
      <w:r>
        <w:rPr>
          <w:rFonts w:ascii="Times New Roman" w:hAnsi="Times New Roman" w:cs="Times New Roman"/>
          <w:sz w:val="24"/>
        </w:rPr>
        <w:tab/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sjedišta:</w:t>
      </w:r>
      <w:r>
        <w:rPr>
          <w:rFonts w:ascii="Times New Roman" w:hAnsi="Times New Roman" w:cs="Times New Roman"/>
          <w:sz w:val="24"/>
        </w:rPr>
        <w:tab/>
        <w:t>Kula 1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OIB: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C4142">
        <w:rPr>
          <w:rFonts w:ascii="Times New Roman" w:hAnsi="Times New Roman" w:cs="Times New Roman"/>
          <w:sz w:val="24"/>
        </w:rPr>
        <w:t>05866611479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142">
        <w:rPr>
          <w:rFonts w:ascii="Times New Roman" w:hAnsi="Times New Roman" w:cs="Times New Roman"/>
          <w:sz w:val="24"/>
          <w:szCs w:val="24"/>
        </w:rPr>
        <w:t>HR8324070001812400006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Zakonski zastupnik: </w:t>
      </w:r>
      <w:r>
        <w:rPr>
          <w:rFonts w:ascii="Times New Roman" w:hAnsi="Times New Roman" w:cs="Times New Roman"/>
          <w:sz w:val="24"/>
          <w:szCs w:val="24"/>
        </w:rPr>
        <w:tab/>
        <w:t>Ivan Lović, načelnik</w:t>
      </w:r>
    </w:p>
    <w:p w:rsidR="00DC4142" w:rsidRDefault="00B302C0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4142" w:rsidRPr="00124712">
          <w:rPr>
            <w:rStyle w:val="Hiperveza"/>
            <w:rFonts w:ascii="Times New Roman" w:hAnsi="Times New Roman" w:cs="Times New Roman"/>
            <w:sz w:val="24"/>
            <w:szCs w:val="24"/>
          </w:rPr>
          <w:t>www.gorjani.hr</w:t>
        </w:r>
      </w:hyperlink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BILJEŠKE UZ FINANCIJSKI IZVJEŠTAJ ZA IZVJEŠTAJNO RAZDOBLJE </w:t>
      </w:r>
    </w:p>
    <w:p w:rsidR="00DC4142" w:rsidRDefault="00DC4142" w:rsidP="00DC4142">
      <w:pPr>
        <w:pStyle w:val="Bezproreda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siječnja do 31. prosinca 2023.g.</w:t>
      </w:r>
    </w:p>
    <w:p w:rsidR="00DC4142" w:rsidRDefault="00DC4142" w:rsidP="00DC4142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DC4142" w:rsidRDefault="00DC4142" w:rsidP="00DC4142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DC4142" w:rsidRDefault="00DC4142" w:rsidP="00DC41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4142" w:rsidRDefault="00DC4142" w:rsidP="00DC41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Uvodni dio i zakonski okvir</w:t>
      </w:r>
    </w:p>
    <w:p w:rsidR="00DC4142" w:rsidRDefault="00DC4142" w:rsidP="00DC414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C4142" w:rsidRDefault="00DC4142" w:rsidP="00900E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Financijski izvještaj za 2023. g. Općine Gorjani sastavljen je sukladno odredbama Pravilnika o financijskom izvještavanju u proračunskom računovodstvu („Narodne novine“ broj 37/2022) i </w:t>
      </w:r>
      <w:r>
        <w:rPr>
          <w:rFonts w:ascii="Times New Roman" w:hAnsi="Times New Roman" w:cs="Times New Roman"/>
          <w:sz w:val="24"/>
          <w:szCs w:val="24"/>
        </w:rPr>
        <w:t>Okružnici o sastavljanju, konsolidaciji i predaji financijskih izvještaja proračuna, proračunskih i izvanproračunskih korisnika državnog proračuna, te proračunskih i izvanproračunskih korisnika proračuna jedinica lokalne i područne (regionalne) samouprave za razdoblje od 1. siječnja do 31. prosinca 2023. (KLASA: 400-02/23-01/27 URBROJ: 513-05-03-24-4 od 10. siječnja 2024.g.)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8. Pravilnika o financijskom izvještavanju u proračunskom računovodstvu propisan je sadržaj financijskih izvještaja.</w:t>
      </w:r>
    </w:p>
    <w:p w:rsidR="00DC4142" w:rsidRDefault="00DC4142" w:rsidP="00DC414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financijske izvještaje sastavni su dio financijskih izvještaja proračuna i njihova dopuna. Sastavljaju se u opisnom, brojčanom i kombiniranom obliku sa svrhom pojašnjavanja pojedinih pozicija iz financijskih izvještaja.</w:t>
      </w:r>
    </w:p>
    <w:p w:rsidR="00DC4142" w:rsidRDefault="00DC4142" w:rsidP="00DC414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Gorjani obveznik je proračunskog računovodstva.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Priznavanje prihoda i primitaka, te rashoda i izdataka iskazanih u financijskim izvještajima temeljeno je na modificiranom računovodstvenom načelu nastanka događaja, odnosno:</w:t>
      </w:r>
    </w:p>
    <w:p w:rsidR="00DC4142" w:rsidRDefault="00DC4142" w:rsidP="00DC41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iskazuje se rashod amortizacije dugotrajne nefinancijske imovine,</w:t>
      </w:r>
    </w:p>
    <w:p w:rsidR="00DC4142" w:rsidRDefault="00DC4142" w:rsidP="00DC41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iskazuju se prihodi i rashodi uslijed promjena vrijednosti nefinancijske imovine,</w:t>
      </w:r>
    </w:p>
    <w:p w:rsidR="00DC4142" w:rsidRDefault="00DC4142" w:rsidP="00DC41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se priznaju u izvještajnom razdoblju u kojem su postali raspoloživi i pod uvjetom da se mogu izmjeriti,</w:t>
      </w:r>
    </w:p>
    <w:p w:rsidR="00DC4142" w:rsidRDefault="00DC4142" w:rsidP="00DC41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priznaju na temelju nastanka poslovnog događaja (obveze) i u izvještajnom razdoblju na koje se odnose  neovisno o plaćanju,</w:t>
      </w:r>
    </w:p>
    <w:p w:rsidR="00DC4142" w:rsidRDefault="00DC4142" w:rsidP="00DC41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utrošak kratkotrajne nefinancijske imovine priznaju se u trenutku nabave i u visini njene nabavne vrijednosti i </w:t>
      </w:r>
    </w:p>
    <w:p w:rsidR="00DC4142" w:rsidRDefault="00DC4142" w:rsidP="00DC41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nefinancijske imovine iskazuju se prihodi i rashodi (osim kada se radi o prijenosima između proračuna/proračunskih/izvanproračunskih korisnika koji se izravno evidentiraju kao promjene vlastitih izvora).</w:t>
      </w: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rPr>
          <w:rFonts w:ascii="Times New Roman" w:hAnsi="Times New Roman" w:cs="Times New Roman"/>
          <w:sz w:val="24"/>
        </w:rPr>
      </w:pPr>
    </w:p>
    <w:p w:rsidR="00DC4142" w:rsidRDefault="00DC4142" w:rsidP="00DC41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PR-RAS </w:t>
      </w:r>
      <w:r>
        <w:rPr>
          <w:rFonts w:ascii="Times New Roman" w:hAnsi="Times New Roman" w:cs="Times New Roman"/>
          <w:sz w:val="28"/>
          <w:szCs w:val="28"/>
        </w:rPr>
        <w:t>(Izvještaj o prihodima i primicima, rashodima i izdacima)</w:t>
      </w:r>
    </w:p>
    <w:p w:rsidR="00DC4142" w:rsidRDefault="00DC4142" w:rsidP="00DC4142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6 – </w:t>
      </w:r>
      <w:r>
        <w:rPr>
          <w:rFonts w:ascii="Times New Roman" w:hAnsi="Times New Roman" w:cs="Times New Roman"/>
          <w:b/>
          <w:sz w:val="24"/>
          <w:szCs w:val="24"/>
        </w:rPr>
        <w:t>Ukupni prihodi poslovanja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iznose </w:t>
      </w:r>
      <w:r w:rsidR="00791BA3">
        <w:rPr>
          <w:rFonts w:ascii="Times New Roman" w:hAnsi="Times New Roman" w:cs="Times New Roman"/>
          <w:sz w:val="24"/>
          <w:szCs w:val="24"/>
        </w:rPr>
        <w:t>1.102.149,23 eura, što je povećanje od 21.080,58 eura u odnosu na prethodno izvještajno razdoblje.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Bilješka uz šifru 61 do 616</w:t>
      </w:r>
      <w:r>
        <w:rPr>
          <w:rFonts w:ascii="Times New Roman" w:hAnsi="Times New Roman" w:cs="Times New Roman"/>
          <w:sz w:val="24"/>
          <w:szCs w:val="24"/>
        </w:rPr>
        <w:t xml:space="preserve"> – Ukupni prihodi od poreza bilježe rast u odnosu na prethodno izvještajno razdoblje za </w:t>
      </w:r>
      <w:r w:rsidR="00791BA3">
        <w:rPr>
          <w:rFonts w:ascii="Times New Roman" w:hAnsi="Times New Roman" w:cs="Times New Roman"/>
          <w:sz w:val="24"/>
          <w:szCs w:val="24"/>
        </w:rPr>
        <w:t xml:space="preserve">112.816,54 eura,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91BA3">
        <w:rPr>
          <w:rFonts w:ascii="Times New Roman" w:hAnsi="Times New Roman" w:cs="Times New Roman"/>
          <w:sz w:val="24"/>
          <w:szCs w:val="24"/>
        </w:rPr>
        <w:t xml:space="preserve">povećanje se odnosi na </w:t>
      </w:r>
      <w:r>
        <w:rPr>
          <w:rFonts w:ascii="Times New Roman" w:hAnsi="Times New Roman" w:cs="Times New Roman"/>
          <w:sz w:val="24"/>
          <w:szCs w:val="24"/>
        </w:rPr>
        <w:t>porez i prirez na dohod</w:t>
      </w:r>
      <w:r w:rsidR="00791BA3">
        <w:rPr>
          <w:rFonts w:ascii="Times New Roman" w:hAnsi="Times New Roman" w:cs="Times New Roman"/>
          <w:sz w:val="24"/>
          <w:szCs w:val="24"/>
        </w:rPr>
        <w:t>ak od nesamostalnog rada, stalne poreze</w:t>
      </w:r>
      <w:r>
        <w:rPr>
          <w:rFonts w:ascii="Times New Roman" w:hAnsi="Times New Roman" w:cs="Times New Roman"/>
          <w:sz w:val="24"/>
          <w:szCs w:val="24"/>
        </w:rPr>
        <w:t xml:space="preserve"> na nepokr</w:t>
      </w:r>
      <w:r w:rsidR="00791BA3">
        <w:rPr>
          <w:rFonts w:ascii="Times New Roman" w:hAnsi="Times New Roman" w:cs="Times New Roman"/>
          <w:sz w:val="24"/>
          <w:szCs w:val="24"/>
        </w:rPr>
        <w:t>etnu imovinu i porez na promet.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šifre 6381 i 6382 - </w:t>
      </w:r>
      <w:r w:rsidR="007F5E1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ekuće pomoći temeljem sredstava EU</w:t>
      </w:r>
      <w:r w:rsidR="007F5E1B">
        <w:rPr>
          <w:rFonts w:ascii="Times New Roman" w:hAnsi="Times New Roman" w:cs="Times New Roman"/>
          <w:sz w:val="24"/>
          <w:szCs w:val="24"/>
        </w:rPr>
        <w:t xml:space="preserve"> bilježe povećanje u odnosu na prethodno izvještajno razdoblje zbog pokretanja projekta „Zaželi“ III. faza. Kapitalne pomoći temeljem prijenosa sredstava EU bilježe pad</w:t>
      </w:r>
      <w:r w:rsidR="00ED3FAD">
        <w:rPr>
          <w:rFonts w:ascii="Times New Roman" w:hAnsi="Times New Roman" w:cs="Times New Roman"/>
          <w:sz w:val="24"/>
          <w:szCs w:val="24"/>
        </w:rPr>
        <w:t>. Tijekom 2023. g. provedena su dva kapitalna projekta sredstvima EU, Rekonstrukcija javnih površina centra naselja Gorjani IV. Faza i Prekogranična suradnja sa Župom u Rumi, Republika Srbija.</w:t>
      </w:r>
      <w:r w:rsidR="007F5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683 – </w:t>
      </w:r>
      <w:r>
        <w:rPr>
          <w:rFonts w:ascii="Times New Roman" w:hAnsi="Times New Roman" w:cs="Times New Roman"/>
          <w:sz w:val="24"/>
          <w:szCs w:val="24"/>
        </w:rPr>
        <w:t xml:space="preserve">Ostali prihodi – Iznos od </w:t>
      </w:r>
      <w:r w:rsidR="001E463F">
        <w:rPr>
          <w:rFonts w:ascii="Times New Roman" w:hAnsi="Times New Roman" w:cs="Times New Roman"/>
          <w:sz w:val="24"/>
          <w:szCs w:val="24"/>
        </w:rPr>
        <w:t>3.922,14</w:t>
      </w:r>
      <w:r>
        <w:rPr>
          <w:rFonts w:ascii="Times New Roman" w:hAnsi="Times New Roman" w:cs="Times New Roman"/>
          <w:sz w:val="24"/>
          <w:szCs w:val="24"/>
        </w:rPr>
        <w:t xml:space="preserve"> eura odnosi se na povrat neiskorištenih sredstava u proračun Općine koji se odnose na financiranje rada neprofitnih</w:t>
      </w:r>
      <w:r w:rsidR="001E463F">
        <w:rPr>
          <w:rFonts w:ascii="Times New Roman" w:hAnsi="Times New Roman" w:cs="Times New Roman"/>
          <w:sz w:val="24"/>
          <w:szCs w:val="24"/>
        </w:rPr>
        <w:t xml:space="preserve"> udruga s područja Općine Gorjani, uplate novčanih kazni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63F">
        <w:rPr>
          <w:rFonts w:ascii="Times New Roman" w:hAnsi="Times New Roman" w:cs="Times New Roman"/>
          <w:sz w:val="24"/>
          <w:szCs w:val="24"/>
        </w:rPr>
        <w:t>za oštećenje općinske imovine i slično.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 – </w:t>
      </w:r>
      <w:r>
        <w:rPr>
          <w:rFonts w:ascii="Times New Roman" w:hAnsi="Times New Roman" w:cs="Times New Roman"/>
          <w:b/>
          <w:sz w:val="24"/>
          <w:szCs w:val="24"/>
        </w:rPr>
        <w:t xml:space="preserve">Ukupni rashodi poslovanja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iznose </w:t>
      </w:r>
      <w:r w:rsidR="001E463F">
        <w:rPr>
          <w:rFonts w:ascii="Times New Roman" w:hAnsi="Times New Roman" w:cs="Times New Roman"/>
          <w:sz w:val="24"/>
          <w:szCs w:val="24"/>
        </w:rPr>
        <w:t>733.036,21 eura i bilježe rast od 119.683,45 eura u odnosu na prethodno izvještajno razdoblje. Najvećim</w:t>
      </w:r>
      <w:r w:rsidR="001B5DA9">
        <w:rPr>
          <w:rFonts w:ascii="Times New Roman" w:hAnsi="Times New Roman" w:cs="Times New Roman"/>
          <w:sz w:val="24"/>
          <w:szCs w:val="24"/>
        </w:rPr>
        <w:t xml:space="preserve"> se</w:t>
      </w:r>
      <w:r w:rsidR="001E463F">
        <w:rPr>
          <w:rFonts w:ascii="Times New Roman" w:hAnsi="Times New Roman" w:cs="Times New Roman"/>
          <w:sz w:val="24"/>
          <w:szCs w:val="24"/>
        </w:rPr>
        <w:t xml:space="preserve"> dijelom </w:t>
      </w:r>
      <w:r w:rsidR="001B5DA9">
        <w:rPr>
          <w:rFonts w:ascii="Times New Roman" w:hAnsi="Times New Roman" w:cs="Times New Roman"/>
          <w:sz w:val="24"/>
          <w:szCs w:val="24"/>
        </w:rPr>
        <w:t>povećanje odnosi na rast plaća i materijalnih prava radnika tijekom 2023. g. zbog praćenja rasta inflacije.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32 – </w:t>
      </w:r>
      <w:r>
        <w:rPr>
          <w:rFonts w:ascii="Times New Roman" w:hAnsi="Times New Roman" w:cs="Times New Roman"/>
          <w:sz w:val="24"/>
          <w:szCs w:val="24"/>
        </w:rPr>
        <w:t>Materijalni rashodi na kraju izvješta</w:t>
      </w:r>
      <w:r w:rsidR="00CB6FD7">
        <w:rPr>
          <w:rFonts w:ascii="Times New Roman" w:hAnsi="Times New Roman" w:cs="Times New Roman"/>
          <w:sz w:val="24"/>
          <w:szCs w:val="24"/>
        </w:rPr>
        <w:t>jnog razdoblja iznose 213.641,88 eura i manji su za 19.217,57</w:t>
      </w:r>
      <w:r>
        <w:rPr>
          <w:rFonts w:ascii="Times New Roman" w:hAnsi="Times New Roman" w:cs="Times New Roman"/>
          <w:sz w:val="24"/>
          <w:szCs w:val="24"/>
        </w:rPr>
        <w:t xml:space="preserve"> eura u odnosu na </w:t>
      </w:r>
      <w:r w:rsidR="00CB6FD7">
        <w:rPr>
          <w:rFonts w:ascii="Times New Roman" w:hAnsi="Times New Roman" w:cs="Times New Roman"/>
          <w:sz w:val="24"/>
          <w:szCs w:val="24"/>
        </w:rPr>
        <w:t>prethodno izvještajno razdoblje, što se najviše odnosi na smanjenje rashoda za razne usluge.</w:t>
      </w:r>
    </w:p>
    <w:p w:rsidR="00CB6FD7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322 – </w:t>
      </w:r>
      <w:r>
        <w:rPr>
          <w:rFonts w:ascii="Times New Roman" w:hAnsi="Times New Roman" w:cs="Times New Roman"/>
          <w:sz w:val="24"/>
          <w:szCs w:val="24"/>
        </w:rPr>
        <w:t xml:space="preserve">Troškovi potrošene energije iznose </w:t>
      </w:r>
      <w:r w:rsidR="00CB6FD7">
        <w:rPr>
          <w:rFonts w:ascii="Times New Roman" w:hAnsi="Times New Roman" w:cs="Times New Roman"/>
          <w:sz w:val="24"/>
          <w:szCs w:val="24"/>
        </w:rPr>
        <w:t>51.237,56 eura</w:t>
      </w:r>
      <w:r>
        <w:rPr>
          <w:rFonts w:ascii="Times New Roman" w:hAnsi="Times New Roman" w:cs="Times New Roman"/>
          <w:sz w:val="24"/>
          <w:szCs w:val="24"/>
        </w:rPr>
        <w:t xml:space="preserve">, što je za </w:t>
      </w:r>
      <w:r w:rsidR="00CB6FD7">
        <w:rPr>
          <w:rFonts w:ascii="Times New Roman" w:hAnsi="Times New Roman" w:cs="Times New Roman"/>
          <w:sz w:val="24"/>
          <w:szCs w:val="24"/>
        </w:rPr>
        <w:t xml:space="preserve">9.410,54 </w:t>
      </w:r>
      <w:r>
        <w:rPr>
          <w:rFonts w:ascii="Times New Roman" w:hAnsi="Times New Roman" w:cs="Times New Roman"/>
          <w:sz w:val="24"/>
          <w:szCs w:val="24"/>
        </w:rPr>
        <w:t xml:space="preserve"> eura manje u odnosu na prethodno izvještajno razd</w:t>
      </w:r>
      <w:r w:rsidR="00CB6FD7">
        <w:rPr>
          <w:rFonts w:ascii="Times New Roman" w:hAnsi="Times New Roman" w:cs="Times New Roman"/>
          <w:sz w:val="24"/>
          <w:szCs w:val="24"/>
        </w:rPr>
        <w:t>oblje. Smanjenje se najvećim dijelom odnosi na smanjene troškove električne energije temeljem Uredbe</w:t>
      </w:r>
      <w:r>
        <w:rPr>
          <w:rFonts w:ascii="Times New Roman" w:hAnsi="Times New Roman" w:cs="Times New Roman"/>
          <w:sz w:val="24"/>
          <w:szCs w:val="24"/>
        </w:rPr>
        <w:t xml:space="preserve"> Vlade RH</w:t>
      </w:r>
      <w:r w:rsidR="00252699">
        <w:rPr>
          <w:rFonts w:ascii="Times New Roman" w:hAnsi="Times New Roman" w:cs="Times New Roman"/>
          <w:sz w:val="24"/>
          <w:szCs w:val="24"/>
        </w:rPr>
        <w:t>, te na smanjen</w:t>
      </w:r>
      <w:r w:rsidR="00CB6FD7">
        <w:rPr>
          <w:rFonts w:ascii="Times New Roman" w:hAnsi="Times New Roman" w:cs="Times New Roman"/>
          <w:sz w:val="24"/>
          <w:szCs w:val="24"/>
        </w:rPr>
        <w:t>e troškove uredskog materijala i ostalih materijalnih rashoda.</w:t>
      </w:r>
    </w:p>
    <w:p w:rsidR="00DC4142" w:rsidRDefault="00DC4142" w:rsidP="00DC4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Bilješka uz šifru 3</w:t>
      </w:r>
      <w:r w:rsidR="00CB6FD7">
        <w:rPr>
          <w:rFonts w:ascii="Times New Roman" w:hAnsi="Times New Roman" w:cs="Times New Roman"/>
          <w:i/>
          <w:sz w:val="24"/>
          <w:szCs w:val="24"/>
        </w:rPr>
        <w:t>67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FD7">
        <w:rPr>
          <w:rFonts w:ascii="Times New Roman" w:hAnsi="Times New Roman" w:cs="Times New Roman"/>
          <w:sz w:val="24"/>
          <w:szCs w:val="24"/>
        </w:rPr>
        <w:t xml:space="preserve">Prijenosi </w:t>
      </w:r>
      <w:r>
        <w:rPr>
          <w:rFonts w:ascii="Times New Roman" w:hAnsi="Times New Roman" w:cs="Times New Roman"/>
          <w:sz w:val="24"/>
          <w:szCs w:val="24"/>
        </w:rPr>
        <w:t xml:space="preserve">proračunskim korisnicima </w:t>
      </w:r>
      <w:r w:rsidR="00CB6FD7">
        <w:rPr>
          <w:rFonts w:ascii="Times New Roman" w:hAnsi="Times New Roman" w:cs="Times New Roman"/>
          <w:sz w:val="24"/>
          <w:szCs w:val="24"/>
        </w:rPr>
        <w:t>iz nadležnog proračuna za financiranje redovne djelatnosti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FD7">
        <w:rPr>
          <w:rFonts w:ascii="Times New Roman" w:hAnsi="Times New Roman" w:cs="Times New Roman"/>
          <w:sz w:val="24"/>
          <w:szCs w:val="24"/>
        </w:rPr>
        <w:t>smanjene</w:t>
      </w:r>
      <w:r>
        <w:rPr>
          <w:rFonts w:ascii="Times New Roman" w:hAnsi="Times New Roman" w:cs="Times New Roman"/>
          <w:sz w:val="24"/>
          <w:szCs w:val="24"/>
        </w:rPr>
        <w:t xml:space="preserve"> su u odnosu na prethodno izvještajno razdoblje</w:t>
      </w:r>
      <w:r w:rsidR="00252699">
        <w:rPr>
          <w:rFonts w:ascii="Times New Roman" w:hAnsi="Times New Roman" w:cs="Times New Roman"/>
          <w:sz w:val="24"/>
          <w:szCs w:val="24"/>
        </w:rPr>
        <w:t xml:space="preserve">, a </w:t>
      </w:r>
      <w:r w:rsidR="00252699">
        <w:rPr>
          <w:rFonts w:ascii="Times New Roman" w:hAnsi="Times New Roman" w:cs="Times New Roman"/>
          <w:sz w:val="24"/>
          <w:szCs w:val="24"/>
        </w:rPr>
        <w:lastRenderedPageBreak/>
        <w:t>sredstva su isplaćivana na temelju specificiranih zahtjeva proračunskog korisnika Dječjeg vrtića Krijesnica Gorjani.</w:t>
      </w:r>
    </w:p>
    <w:p w:rsidR="00DC4142" w:rsidRDefault="00DC4142" w:rsidP="00DC4142">
      <w:pPr>
        <w:rPr>
          <w:rFonts w:ascii="Times New Roman" w:hAnsi="Times New Roman" w:cs="Times New Roman"/>
          <w:sz w:val="24"/>
          <w:szCs w:val="24"/>
        </w:rPr>
      </w:pPr>
    </w:p>
    <w:p w:rsidR="00DC4142" w:rsidRDefault="00DC4142" w:rsidP="00DC4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BIL </w:t>
      </w:r>
      <w:r>
        <w:rPr>
          <w:rFonts w:ascii="Times New Roman" w:hAnsi="Times New Roman" w:cs="Times New Roman"/>
          <w:sz w:val="28"/>
          <w:szCs w:val="28"/>
        </w:rPr>
        <w:t>(Bilanca)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F1D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0227 – </w:t>
      </w:r>
      <w:r w:rsidR="00467F1D">
        <w:rPr>
          <w:rFonts w:ascii="Times New Roman" w:hAnsi="Times New Roman" w:cs="Times New Roman"/>
          <w:sz w:val="24"/>
          <w:szCs w:val="24"/>
        </w:rPr>
        <w:t xml:space="preserve">Oprema – Nabavljena je dodatna oprema za KTC Lucije Karalić, obnovljeno je jedno od dječjih igrališta u naselju Gorjani, i nabavljen je kvalitetan kontejner za klaonički otpad. </w:t>
      </w:r>
    </w:p>
    <w:p w:rsidR="00DC4142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042 – </w:t>
      </w:r>
      <w:r>
        <w:rPr>
          <w:rFonts w:ascii="Times New Roman" w:hAnsi="Times New Roman" w:cs="Times New Roman"/>
          <w:sz w:val="24"/>
          <w:szCs w:val="24"/>
        </w:rPr>
        <w:t xml:space="preserve">Sitni inventar – u tijeku izvještajnog razdoblja najveći je izdatak ovdje izdvojen za nabavu </w:t>
      </w:r>
      <w:r w:rsidR="00467F1D">
        <w:rPr>
          <w:rFonts w:ascii="Times New Roman" w:hAnsi="Times New Roman" w:cs="Times New Roman"/>
          <w:sz w:val="24"/>
          <w:szCs w:val="24"/>
        </w:rPr>
        <w:t>krojačke lutke za potrebe izložbenog prostora u sklopu župne crkve, nabavu novih zastava, te natpisnih ploča za razne potrebe u općini.</w:t>
      </w:r>
    </w:p>
    <w:p w:rsidR="00DC4142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</w:t>
      </w:r>
      <w:r w:rsidR="00467F1D">
        <w:rPr>
          <w:rFonts w:ascii="Times New Roman" w:hAnsi="Times New Roman" w:cs="Times New Roman"/>
          <w:i/>
          <w:sz w:val="24"/>
          <w:szCs w:val="24"/>
        </w:rPr>
        <w:t xml:space="preserve">11 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67F1D">
        <w:rPr>
          <w:rFonts w:ascii="Times New Roman" w:hAnsi="Times New Roman" w:cs="Times New Roman"/>
          <w:sz w:val="24"/>
          <w:szCs w:val="24"/>
        </w:rPr>
        <w:t>Novac u banci i blagajni</w:t>
      </w:r>
      <w:r>
        <w:rPr>
          <w:rFonts w:ascii="Times New Roman" w:hAnsi="Times New Roman" w:cs="Times New Roman"/>
          <w:sz w:val="24"/>
          <w:szCs w:val="24"/>
        </w:rPr>
        <w:t xml:space="preserve"> – Na kraju izvještajnog razdoblja </w:t>
      </w:r>
      <w:r w:rsidR="00467F1D">
        <w:rPr>
          <w:rFonts w:ascii="Times New Roman" w:hAnsi="Times New Roman" w:cs="Times New Roman"/>
          <w:sz w:val="24"/>
          <w:szCs w:val="24"/>
        </w:rPr>
        <w:t>stanje novčanih sredstava na žiro računu općine iznosi 186.903,21 eura, a stanje u blagajni iznosi 30,00 eura.</w:t>
      </w:r>
    </w:p>
    <w:p w:rsidR="00DC4142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obračuna poslovanja i provedenih knjiženja utvrđen je </w:t>
      </w:r>
      <w:r>
        <w:rPr>
          <w:rFonts w:ascii="Times New Roman" w:hAnsi="Times New Roman" w:cs="Times New Roman"/>
          <w:b/>
          <w:sz w:val="24"/>
          <w:szCs w:val="24"/>
        </w:rPr>
        <w:t>rezultat poslovanja (višak)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E31EB">
        <w:rPr>
          <w:rFonts w:ascii="Times New Roman" w:hAnsi="Times New Roman" w:cs="Times New Roman"/>
          <w:sz w:val="24"/>
          <w:szCs w:val="24"/>
        </w:rPr>
        <w:t>108.204,07</w:t>
      </w:r>
      <w:r>
        <w:rPr>
          <w:rFonts w:ascii="Times New Roman" w:hAnsi="Times New Roman" w:cs="Times New Roman"/>
          <w:sz w:val="24"/>
          <w:szCs w:val="24"/>
        </w:rPr>
        <w:t xml:space="preserve"> eura. Rezultat je utvrđen tako što je ostvaren:</w:t>
      </w:r>
    </w:p>
    <w:p w:rsidR="00DC4142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92211 – Višak prihoda poslovanja – </w:t>
      </w:r>
      <w:r w:rsidR="008E31EB">
        <w:rPr>
          <w:rFonts w:ascii="Times New Roman" w:hAnsi="Times New Roman" w:cs="Times New Roman"/>
          <w:sz w:val="24"/>
          <w:szCs w:val="24"/>
        </w:rPr>
        <w:t>349.884,13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DC4142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92222 – Manjak prihoda od nefinancijske imovine – </w:t>
      </w:r>
      <w:r w:rsidR="00A54492">
        <w:rPr>
          <w:rFonts w:ascii="Times New Roman" w:hAnsi="Times New Roman" w:cs="Times New Roman"/>
          <w:sz w:val="24"/>
          <w:szCs w:val="24"/>
        </w:rPr>
        <w:t>232.709,15 eura</w:t>
      </w:r>
    </w:p>
    <w:p w:rsidR="00A54492" w:rsidRDefault="00A5449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92223 – Manjak prihoda od financijske imovine – 8.970,91 eura</w:t>
      </w:r>
    </w:p>
    <w:p w:rsidR="00DC4142" w:rsidRDefault="00DC4142" w:rsidP="00DC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izrade Godišnjeg izvještaja o izvršenju proračuna biti će utvrđena struktura financijskog rezultata prema izvorima financiranja, te će Općinsko vijeće donijeti Odluku o raspodjeli rezultata.</w:t>
      </w:r>
    </w:p>
    <w:p w:rsidR="00DC4142" w:rsidRDefault="00DC4142" w:rsidP="00DC4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Gorjani nema sudskih sporova.</w:t>
      </w:r>
    </w:p>
    <w:p w:rsidR="00374996" w:rsidRDefault="00374996" w:rsidP="00DC4142">
      <w:pPr>
        <w:rPr>
          <w:rFonts w:ascii="Times New Roman" w:hAnsi="Times New Roman" w:cs="Times New Roman"/>
          <w:b/>
          <w:sz w:val="28"/>
          <w:szCs w:val="28"/>
        </w:rPr>
      </w:pPr>
    </w:p>
    <w:p w:rsidR="00DC4142" w:rsidRDefault="00DC4142" w:rsidP="00DC4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RAS-funkcijski </w:t>
      </w:r>
      <w:r>
        <w:rPr>
          <w:rFonts w:ascii="Times New Roman" w:hAnsi="Times New Roman" w:cs="Times New Roman"/>
          <w:sz w:val="28"/>
          <w:szCs w:val="28"/>
        </w:rPr>
        <w:t>(Izvještaj o rashodima prema funkcijskoj klasifikaciji)</w:t>
      </w:r>
    </w:p>
    <w:p w:rsidR="00D214F4" w:rsidRPr="007814AB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 w:rsidRPr="007814AB">
        <w:rPr>
          <w:rFonts w:ascii="Times New Roman" w:hAnsi="Times New Roman" w:cs="Times New Roman"/>
          <w:sz w:val="24"/>
          <w:szCs w:val="24"/>
        </w:rPr>
        <w:t>U Obrascu RAS-funkcijski iskazani su rashodi razreda 3 i 4 prema funkcijama za koje su utrošeni u uku</w:t>
      </w:r>
      <w:r w:rsidR="003C00EE" w:rsidRPr="007814AB">
        <w:rPr>
          <w:rFonts w:ascii="Times New Roman" w:hAnsi="Times New Roman" w:cs="Times New Roman"/>
          <w:sz w:val="24"/>
          <w:szCs w:val="24"/>
        </w:rPr>
        <w:t xml:space="preserve">pnom iznosu </w:t>
      </w:r>
      <w:r w:rsidR="007814AB" w:rsidRPr="007814AB">
        <w:rPr>
          <w:rFonts w:ascii="Times New Roman" w:hAnsi="Times New Roman" w:cs="Times New Roman"/>
          <w:sz w:val="24"/>
          <w:szCs w:val="24"/>
        </w:rPr>
        <w:t>od 964.933,91 eura.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 w:rsidRPr="007814AB">
        <w:rPr>
          <w:rFonts w:ascii="Times New Roman" w:hAnsi="Times New Roman" w:cs="Times New Roman"/>
          <w:i/>
          <w:sz w:val="24"/>
          <w:szCs w:val="24"/>
        </w:rPr>
        <w:t xml:space="preserve">Bilješka uz šifru R1 - </w:t>
      </w:r>
      <w:r w:rsidRPr="007814AB">
        <w:rPr>
          <w:rFonts w:ascii="Times New Roman" w:hAnsi="Times New Roman" w:cs="Times New Roman"/>
          <w:sz w:val="24"/>
          <w:szCs w:val="24"/>
        </w:rPr>
        <w:t>Ukupni iznos naveden u Obrascu RAS-funkcijski odgovara ukupno iskazanim rashodima</w:t>
      </w:r>
      <w:r w:rsidR="007814AB" w:rsidRPr="007814AB">
        <w:rPr>
          <w:rFonts w:ascii="Times New Roman" w:hAnsi="Times New Roman" w:cs="Times New Roman"/>
          <w:sz w:val="24"/>
          <w:szCs w:val="24"/>
        </w:rPr>
        <w:t xml:space="preserve"> u Obrascu PR-RAS na šifri Y034, umanjeno za šifru 367 koja se odnosi na proračunskog korisnika.</w:t>
      </w:r>
    </w:p>
    <w:p w:rsidR="00DC4142" w:rsidRDefault="00DC4142" w:rsidP="00DC4142">
      <w:pPr>
        <w:rPr>
          <w:rFonts w:ascii="Times New Roman" w:hAnsi="Times New Roman" w:cs="Times New Roman"/>
          <w:b/>
          <w:sz w:val="24"/>
          <w:szCs w:val="24"/>
        </w:rPr>
      </w:pPr>
    </w:p>
    <w:p w:rsidR="00DC4142" w:rsidRPr="00374996" w:rsidRDefault="00374996" w:rsidP="00DC414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="00DC4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ilješke uz obrazac P-VRIO </w:t>
      </w:r>
      <w:r w:rsidR="00DC4142">
        <w:rPr>
          <w:rFonts w:ascii="Times New Roman" w:hAnsi="Times New Roman" w:cs="Times New Roman"/>
          <w:color w:val="000000" w:themeColor="text1"/>
          <w:sz w:val="28"/>
          <w:szCs w:val="28"/>
        </w:rPr>
        <w:t>(Izvještaj o promjenama u vrijednosti i obujmu imovine i obveza)</w:t>
      </w:r>
    </w:p>
    <w:p w:rsidR="00DC4142" w:rsidRDefault="00DC4142" w:rsidP="00DC414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kraju izvještajnog razdoblja Općina </w:t>
      </w:r>
      <w:r w:rsidR="003C00EE">
        <w:rPr>
          <w:rFonts w:ascii="Times New Roman" w:hAnsi="Times New Roman" w:cs="Times New Roman"/>
          <w:color w:val="000000" w:themeColor="text1"/>
          <w:sz w:val="24"/>
          <w:szCs w:val="24"/>
        </w:rPr>
        <w:t>Gorjani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bilježi promjene u vrijednosti i obujmu imovine. </w:t>
      </w:r>
    </w:p>
    <w:p w:rsidR="00DC4142" w:rsidRDefault="00DC4142" w:rsidP="00DC4142">
      <w:pPr>
        <w:rPr>
          <w:rFonts w:ascii="Times New Roman" w:hAnsi="Times New Roman" w:cs="Times New Roman"/>
          <w:b/>
          <w:sz w:val="28"/>
          <w:szCs w:val="28"/>
        </w:rPr>
      </w:pPr>
    </w:p>
    <w:p w:rsidR="00DC4142" w:rsidRDefault="00DC4142" w:rsidP="00DC4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Bilješke uz obrazac Obveze </w:t>
      </w:r>
      <w:r>
        <w:rPr>
          <w:rFonts w:ascii="Times New Roman" w:hAnsi="Times New Roman" w:cs="Times New Roman"/>
          <w:sz w:val="28"/>
          <w:szCs w:val="28"/>
        </w:rPr>
        <w:t>(Izvještaj o obvezama)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456"/>
        <w:gridCol w:w="748"/>
        <w:gridCol w:w="1049"/>
        <w:gridCol w:w="810"/>
        <w:gridCol w:w="1052"/>
        <w:gridCol w:w="1243"/>
        <w:gridCol w:w="1116"/>
      </w:tblGrid>
      <w:tr w:rsidR="008B10F5" w:rsidRPr="008B10F5" w:rsidTr="008B10F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KONTA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 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61 - 180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181 - 360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VIŠE OD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NEDOSPJELO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B10F5" w:rsidRPr="008B10F5" w:rsidRDefault="008B10F5" w:rsidP="008B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23111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zaposlene i privremeno zaposlene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6.342,82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6.342,82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23141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Porez na dohodak iz plaća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907,37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907,37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23151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Doprinosi za mirovinsko osiguranje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1.761,14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1.761,14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23161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doprinose za mirovinsko osiguranje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110,59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110,59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23162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doprinose za obvezno zdravstveno osiguranje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1.400,52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1.400,52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186,33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186,33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101,20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101,20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85,82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85,82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3.322,32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3.322,32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778,92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778,92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29,86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29,86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211,89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211,89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480,36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480,36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318,75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318,75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1.090,20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1.090,20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542,50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542,50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1.167,48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1.167,48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23238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277,06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277,06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23291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1.061,86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1.061,86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23293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125,32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125,32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23294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112,17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112,17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23295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2.534,83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2.534,83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23299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988,94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988,94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23431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bankarske usluge i usluge platnog prometa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3,46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3,46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23721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ostale naknade građanima i kućanstvima u novcu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1.310,08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1.310,08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23953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jamčevine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11.392,90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11.392,90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23954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Ostale nespomenute obveze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1.750,00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1.750,00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24126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8.325,00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8.325,00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24214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8.215,54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5.809,63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14.025,17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24227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18.205,00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18.205,00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26711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Obveze za zajmove od državnog proračuna - kratkoročne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4,22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4,22</w:t>
            </w:r>
          </w:p>
        </w:tc>
      </w:tr>
      <w:tr w:rsidR="008B10F5" w:rsidRPr="008B10F5" w:rsidTr="008B10F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11.392,90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8.215,54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59.345,64</w:t>
            </w:r>
          </w:p>
        </w:tc>
        <w:tc>
          <w:tcPr>
            <w:tcW w:w="111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B10F5" w:rsidRPr="008B10F5" w:rsidRDefault="008B10F5" w:rsidP="008B1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10F5">
              <w:rPr>
                <w:rFonts w:ascii="Calibri" w:eastAsia="Times New Roman" w:hAnsi="Calibri" w:cs="Calibri"/>
                <w:color w:val="000000"/>
                <w:lang w:eastAsia="hr-HR"/>
              </w:rPr>
              <w:t>78.954,08</w:t>
            </w:r>
          </w:p>
        </w:tc>
      </w:tr>
    </w:tbl>
    <w:p w:rsidR="002624F6" w:rsidRDefault="002624F6" w:rsidP="00DC41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Ukupne obveze (dospjele i nedospjele) na kraju izvještajnog razdoblja iznose </w:t>
      </w:r>
      <w:r w:rsidR="002E1805">
        <w:rPr>
          <w:rFonts w:ascii="Times New Roman" w:eastAsia="Times New Roman" w:hAnsi="Times New Roman" w:cs="Times New Roman"/>
          <w:color w:val="000000"/>
          <w:lang w:eastAsia="hr-HR"/>
        </w:rPr>
        <w:t>78.954,08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</w:t>
      </w:r>
      <w:r w:rsidR="002E1805">
        <w:rPr>
          <w:rFonts w:ascii="Times New Roman" w:hAnsi="Times New Roman" w:cs="Times New Roman"/>
          <w:sz w:val="24"/>
          <w:szCs w:val="24"/>
        </w:rPr>
        <w:t xml:space="preserve">jele obveze </w:t>
      </w:r>
      <w:r>
        <w:rPr>
          <w:rFonts w:ascii="Times New Roman" w:hAnsi="Times New Roman" w:cs="Times New Roman"/>
          <w:sz w:val="24"/>
          <w:szCs w:val="24"/>
        </w:rPr>
        <w:t xml:space="preserve">odnose </w:t>
      </w:r>
      <w:r w:rsidR="002E1805">
        <w:rPr>
          <w:rFonts w:ascii="Times New Roman" w:hAnsi="Times New Roman" w:cs="Times New Roman"/>
          <w:sz w:val="24"/>
          <w:szCs w:val="24"/>
        </w:rPr>
        <w:t xml:space="preserve">se dijelom </w:t>
      </w:r>
      <w:r>
        <w:rPr>
          <w:rFonts w:ascii="Times New Roman" w:hAnsi="Times New Roman" w:cs="Times New Roman"/>
          <w:sz w:val="24"/>
          <w:szCs w:val="24"/>
        </w:rPr>
        <w:t>na obveze za zaposlene (plaće za prosinac 2023. godine za zaposlenike općine.) Ove su obveze podmirene u zakonskom roku tijekom siječnja 2024. godine.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prema dobavljačima odnose se na račune s valutom plaćanja u siječnju 2024. godine, kada su i podmirene. U tijeku siječnja 2024. godine podmirene su obveze prema dobavljačima koje su dospjele do kraja 2023. godine. </w:t>
      </w:r>
    </w:p>
    <w:p w:rsidR="00DC4142" w:rsidRDefault="00DC4142" w:rsidP="00DC41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39C" w:rsidRDefault="001D039C"/>
    <w:sectPr w:rsidR="001D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45F67"/>
    <w:multiLevelType w:val="hybridMultilevel"/>
    <w:tmpl w:val="EC5E5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865F5"/>
    <w:multiLevelType w:val="hybridMultilevel"/>
    <w:tmpl w:val="5D96C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42"/>
    <w:rsid w:val="001B5DA9"/>
    <w:rsid w:val="001D039C"/>
    <w:rsid w:val="001E463F"/>
    <w:rsid w:val="00252699"/>
    <w:rsid w:val="002624F6"/>
    <w:rsid w:val="002E1805"/>
    <w:rsid w:val="00374996"/>
    <w:rsid w:val="003C00EE"/>
    <w:rsid w:val="00467F1D"/>
    <w:rsid w:val="00686A35"/>
    <w:rsid w:val="007814AB"/>
    <w:rsid w:val="00791BA3"/>
    <w:rsid w:val="007F5E1B"/>
    <w:rsid w:val="00834DF3"/>
    <w:rsid w:val="008B10F5"/>
    <w:rsid w:val="008E31EB"/>
    <w:rsid w:val="00900E06"/>
    <w:rsid w:val="00A54492"/>
    <w:rsid w:val="00B302C0"/>
    <w:rsid w:val="00BD087C"/>
    <w:rsid w:val="00C075CA"/>
    <w:rsid w:val="00CB6FD7"/>
    <w:rsid w:val="00D214F4"/>
    <w:rsid w:val="00DC4142"/>
    <w:rsid w:val="00ED3FAD"/>
    <w:rsid w:val="00EF6FC8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60755-D4DA-4D86-BA99-7C929750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14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C414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C414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C41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ja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dcterms:created xsi:type="dcterms:W3CDTF">2024-02-06T12:55:00Z</dcterms:created>
  <dcterms:modified xsi:type="dcterms:W3CDTF">2024-02-14T11:10:00Z</dcterms:modified>
</cp:coreProperties>
</file>